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E2C5D" w14:textId="307BC12F" w:rsidR="00823AC1" w:rsidRDefault="00C37573" w:rsidP="00B75CC6">
      <w:pPr>
        <w:spacing w:after="160" w:line="259" w:lineRule="auto"/>
        <w:jc w:val="center"/>
        <w:rPr>
          <w:b/>
          <w:sz w:val="32"/>
          <w:szCs w:val="32"/>
        </w:rPr>
      </w:pPr>
      <w:r>
        <w:rPr>
          <w:b/>
          <w:sz w:val="32"/>
          <w:szCs w:val="32"/>
        </w:rPr>
        <w:t xml:space="preserve">Ten Concerns </w:t>
      </w:r>
      <w:r w:rsidR="00CA48C5">
        <w:rPr>
          <w:b/>
          <w:sz w:val="32"/>
          <w:szCs w:val="32"/>
        </w:rPr>
        <w:t>A</w:t>
      </w:r>
      <w:r>
        <w:rPr>
          <w:b/>
          <w:sz w:val="32"/>
          <w:szCs w:val="32"/>
        </w:rPr>
        <w:t>bout the</w:t>
      </w:r>
      <w:r w:rsidR="00823AC1" w:rsidRPr="00823AC1">
        <w:rPr>
          <w:b/>
          <w:sz w:val="32"/>
          <w:szCs w:val="32"/>
        </w:rPr>
        <w:t xml:space="preserve"> Draft Cal-EPA Supplemental Guidance for Screening and Evaluating Vapor Intrusion (February 2020)</w:t>
      </w:r>
    </w:p>
    <w:p w14:paraId="6D38DFFF" w14:textId="77777777" w:rsidR="00B75CC6" w:rsidRDefault="00A31944" w:rsidP="00A31944">
      <w:pPr>
        <w:spacing w:after="160" w:line="259" w:lineRule="auto"/>
        <w:jc w:val="center"/>
      </w:pPr>
      <w:r w:rsidRPr="00A31944">
        <w:t>March 18, 2020</w:t>
      </w:r>
    </w:p>
    <w:p w14:paraId="39F62F5A" w14:textId="77777777" w:rsidR="00A31944" w:rsidRPr="00A31944" w:rsidRDefault="00A31944" w:rsidP="00A306C1">
      <w:pPr>
        <w:spacing w:after="160" w:line="259" w:lineRule="auto"/>
      </w:pPr>
    </w:p>
    <w:p w14:paraId="348350F5" w14:textId="77777777" w:rsidR="00976B60" w:rsidRPr="00976B60" w:rsidRDefault="00976B60" w:rsidP="00A306C1">
      <w:pPr>
        <w:pStyle w:val="xmsonormal"/>
        <w:numPr>
          <w:ilvl w:val="0"/>
          <w:numId w:val="3"/>
        </w:numPr>
        <w:shd w:val="clear" w:color="auto" w:fill="FFFFFF"/>
        <w:spacing w:before="0" w:beforeAutospacing="0" w:after="160" w:afterAutospacing="0" w:line="259" w:lineRule="auto"/>
        <w:rPr>
          <w:rFonts w:ascii="Calibri" w:hAnsi="Calibri"/>
          <w:b/>
          <w:color w:val="201F1E"/>
          <w:sz w:val="22"/>
          <w:szCs w:val="22"/>
        </w:rPr>
      </w:pPr>
      <w:r w:rsidRPr="00976B60">
        <w:rPr>
          <w:rFonts w:ascii="Calibri" w:hAnsi="Calibri"/>
          <w:b/>
          <w:color w:val="201F1E"/>
          <w:sz w:val="22"/>
          <w:szCs w:val="22"/>
        </w:rPr>
        <w:t xml:space="preserve">The </w:t>
      </w:r>
      <w:r>
        <w:rPr>
          <w:rFonts w:ascii="Calibri" w:hAnsi="Calibri"/>
          <w:b/>
          <w:color w:val="201F1E"/>
          <w:sz w:val="22"/>
          <w:szCs w:val="22"/>
        </w:rPr>
        <w:t>D</w:t>
      </w:r>
      <w:r w:rsidRPr="00976B60">
        <w:rPr>
          <w:rFonts w:ascii="Calibri" w:hAnsi="Calibri"/>
          <w:b/>
          <w:color w:val="201F1E"/>
          <w:sz w:val="22"/>
          <w:szCs w:val="22"/>
        </w:rPr>
        <w:t>SVIG Should Be Withdrawn Until the Agencies Speak With One Voice</w:t>
      </w:r>
    </w:p>
    <w:p w14:paraId="2CC5A8DD" w14:textId="77777777" w:rsidR="00976B60" w:rsidRPr="00976B60" w:rsidRDefault="00976B60" w:rsidP="00A306C1">
      <w:pPr>
        <w:pStyle w:val="xmsonormal"/>
        <w:shd w:val="clear" w:color="auto" w:fill="FFFFFF"/>
        <w:spacing w:before="0" w:beforeAutospacing="0" w:after="160" w:afterAutospacing="0" w:line="259" w:lineRule="auto"/>
        <w:ind w:left="720"/>
        <w:rPr>
          <w:rFonts w:ascii="Calibri" w:hAnsi="Calibri"/>
          <w:color w:val="201F1E"/>
          <w:sz w:val="22"/>
          <w:szCs w:val="22"/>
        </w:rPr>
      </w:pPr>
      <w:r>
        <w:rPr>
          <w:rFonts w:ascii="Calibri" w:hAnsi="Calibri"/>
          <w:color w:val="201F1E"/>
          <w:sz w:val="22"/>
          <w:szCs w:val="22"/>
          <w:bdr w:val="none" w:sz="0" w:space="0" w:color="auto" w:frame="1"/>
        </w:rPr>
        <w:t> </w:t>
      </w:r>
      <w:r>
        <w:rPr>
          <w:rFonts w:ascii="Calibri" w:hAnsi="Calibri"/>
          <w:color w:val="201F1E"/>
          <w:sz w:val="22"/>
          <w:szCs w:val="22"/>
        </w:rPr>
        <w:t>Agency representatives have stated that the Draft Supplemental Vapor Intrusion Guidelines (DSVIG) would provide a unified approach to investigating, regulating, and mitigating vapor intrusion. To the contrary, even </w:t>
      </w:r>
      <w:r>
        <w:rPr>
          <w:rFonts w:ascii="Calibri" w:hAnsi="Calibri"/>
          <w:i/>
          <w:iCs/>
          <w:color w:val="201F1E"/>
          <w:sz w:val="22"/>
          <w:szCs w:val="22"/>
        </w:rPr>
        <w:t>after</w:t>
      </w:r>
      <w:r>
        <w:rPr>
          <w:rFonts w:ascii="Calibri" w:hAnsi="Calibri"/>
          <w:color w:val="201F1E"/>
          <w:sz w:val="22"/>
          <w:szCs w:val="22"/>
        </w:rPr>
        <w:t xml:space="preserve"> the DSVIG was published for public comment, management-level staff at the Department of Toxic Substances Control (DTSC) have stated that they will use different Attenuation Factors (AF) for new residential (.001) and commercial (.0005) buildings that DTSC staff announced during the December 19, 2019 National Brownfields Conference in Los Angeles. Similarly, various Regional Water Quality Control Board managers have stated that they will continue to use AFs ranging from .002 to .03 for new residential buildings. There is great confusion among the regulator community as well as those who are regulated, leading to disinvestment in affordable housing and widespread distrust of the ability of the various agencies to approach vapor intrusion issues on a unified, scientific basis.  This confusion </w:t>
      </w:r>
      <w:r w:rsidR="00A306C1">
        <w:rPr>
          <w:rFonts w:ascii="Calibri" w:hAnsi="Calibri"/>
          <w:color w:val="201F1E"/>
          <w:sz w:val="22"/>
          <w:szCs w:val="22"/>
        </w:rPr>
        <w:t>undermines the credibility of the DVSIG and the agencies responsible for its development</w:t>
      </w:r>
      <w:r>
        <w:rPr>
          <w:rFonts w:ascii="Calibri" w:hAnsi="Calibri"/>
          <w:color w:val="201F1E"/>
          <w:sz w:val="22"/>
          <w:szCs w:val="22"/>
        </w:rPr>
        <w:t>. </w:t>
      </w:r>
      <w:r w:rsidR="00A306C1">
        <w:rPr>
          <w:rFonts w:ascii="Calibri" w:hAnsi="Calibri"/>
          <w:color w:val="201F1E"/>
          <w:sz w:val="22"/>
          <w:szCs w:val="22"/>
        </w:rPr>
        <w:t>The only appropriate remedy is for Cal-EPA, DTSC and the State and Regional Water Boards to withdraw the DSVIG and resolve obvious implementation conflicts before progressing further with public review and comment</w:t>
      </w:r>
      <w:r>
        <w:rPr>
          <w:rFonts w:ascii="Calibri" w:hAnsi="Calibri"/>
          <w:color w:val="201F1E"/>
          <w:sz w:val="22"/>
          <w:szCs w:val="22"/>
        </w:rPr>
        <w:t>.</w:t>
      </w:r>
    </w:p>
    <w:p w14:paraId="3D9D8B86" w14:textId="77777777" w:rsidR="00B75CC6" w:rsidRDefault="00B75CC6" w:rsidP="00B75CC6">
      <w:pPr>
        <w:pStyle w:val="ListParagraph"/>
        <w:spacing w:after="160" w:line="259" w:lineRule="auto"/>
        <w:rPr>
          <w:b/>
        </w:rPr>
      </w:pPr>
    </w:p>
    <w:p w14:paraId="5FFE73F6" w14:textId="66F8CEB4" w:rsidR="00837073" w:rsidRPr="00837073" w:rsidRDefault="00837073" w:rsidP="00B75CC6">
      <w:pPr>
        <w:pStyle w:val="ListParagraph"/>
        <w:numPr>
          <w:ilvl w:val="0"/>
          <w:numId w:val="3"/>
        </w:numPr>
        <w:spacing w:after="160" w:line="259" w:lineRule="auto"/>
        <w:rPr>
          <w:b/>
        </w:rPr>
      </w:pPr>
      <w:r w:rsidRPr="00837073">
        <w:rPr>
          <w:b/>
        </w:rPr>
        <w:t xml:space="preserve">The DSVIG </w:t>
      </w:r>
      <w:r>
        <w:rPr>
          <w:b/>
        </w:rPr>
        <w:t xml:space="preserve">Creates Major New Barriers </w:t>
      </w:r>
      <w:r w:rsidR="00F43AAE">
        <w:rPr>
          <w:b/>
        </w:rPr>
        <w:t>t</w:t>
      </w:r>
      <w:bookmarkStart w:id="0" w:name="_GoBack"/>
      <w:bookmarkEnd w:id="0"/>
      <w:r>
        <w:rPr>
          <w:b/>
        </w:rPr>
        <w:t xml:space="preserve">o Affordable Housing Projects </w:t>
      </w:r>
    </w:p>
    <w:p w14:paraId="3FB38DDE" w14:textId="77777777" w:rsidR="00B75CC6" w:rsidRDefault="007B2D0A" w:rsidP="00B75CC6">
      <w:pPr>
        <w:pStyle w:val="NormalWeb"/>
        <w:spacing w:before="0" w:beforeAutospacing="0" w:after="160" w:afterAutospacing="0" w:line="259" w:lineRule="auto"/>
        <w:ind w:left="720"/>
        <w:rPr>
          <w:rFonts w:asciiTheme="minorHAnsi" w:hAnsiTheme="minorHAnsi"/>
          <w:sz w:val="22"/>
          <w:szCs w:val="22"/>
        </w:rPr>
      </w:pPr>
      <w:r>
        <w:rPr>
          <w:rFonts w:asciiTheme="minorHAnsi" w:hAnsiTheme="minorHAnsi"/>
          <w:color w:val="000000"/>
          <w:sz w:val="22"/>
          <w:szCs w:val="22"/>
        </w:rPr>
        <w:t>It is notable that one of the “Essential Businesses and Activities” exempted from even the most stringent COVID-19 “shelter-in-place” orders is the “construction of affordable housing.” However, t</w:t>
      </w:r>
      <w:r w:rsidR="008D4286" w:rsidRPr="008D4286">
        <w:rPr>
          <w:rFonts w:asciiTheme="minorHAnsi" w:hAnsiTheme="minorHAnsi"/>
          <w:color w:val="000000"/>
          <w:sz w:val="22"/>
          <w:szCs w:val="22"/>
        </w:rPr>
        <w:t>he success of in-fill housing developments in many California communities will depend on avoiding the imposition of unnecessary costs. This reality argues for more refined vapor intrusion guidance that actually screens out lower risk sites. Conceptual site models and other screening tools must use inputs that are representative of actual site conditions. A multiple-lines-of-evidence approach using site-specific information should be encouraged in lieu of default assumptions. This approach is consistent with EPA guidance and long standing DTSC and Water Board practice. Deficiencies in these aspects of the DSVIG</w:t>
      </w:r>
      <w:r w:rsidR="00837073" w:rsidRPr="008D4286">
        <w:rPr>
          <w:rFonts w:asciiTheme="minorHAnsi" w:hAnsiTheme="minorHAnsi"/>
          <w:sz w:val="22"/>
          <w:szCs w:val="22"/>
        </w:rPr>
        <w:t xml:space="preserve"> will make redevelopment of urban brownfields much more difficult and expensive and will serve as a major barrier to resolving California’s affordable housing crisis.</w:t>
      </w:r>
    </w:p>
    <w:p w14:paraId="66564DE5" w14:textId="77777777" w:rsidR="006A75F1" w:rsidRPr="00B75CC6" w:rsidRDefault="006A75F1" w:rsidP="00B75CC6">
      <w:pPr>
        <w:pStyle w:val="NormalWeb"/>
        <w:numPr>
          <w:ilvl w:val="0"/>
          <w:numId w:val="3"/>
        </w:numPr>
        <w:spacing w:before="0" w:beforeAutospacing="0" w:after="160" w:afterAutospacing="0" w:line="259" w:lineRule="auto"/>
        <w:rPr>
          <w:rFonts w:asciiTheme="minorHAnsi" w:hAnsiTheme="minorHAnsi"/>
          <w:b/>
          <w:sz w:val="22"/>
          <w:szCs w:val="22"/>
        </w:rPr>
      </w:pPr>
      <w:r w:rsidRPr="00B75CC6">
        <w:rPr>
          <w:rFonts w:asciiTheme="minorHAnsi" w:hAnsiTheme="minorHAnsi"/>
          <w:b/>
          <w:sz w:val="22"/>
          <w:szCs w:val="22"/>
        </w:rPr>
        <w:t>Default Attenuation Factor</w:t>
      </w:r>
      <w:r w:rsidR="002F699B" w:rsidRPr="00B75CC6">
        <w:rPr>
          <w:rFonts w:asciiTheme="minorHAnsi" w:hAnsiTheme="minorHAnsi"/>
          <w:b/>
          <w:sz w:val="22"/>
          <w:szCs w:val="22"/>
        </w:rPr>
        <w:t xml:space="preserve"> Must </w:t>
      </w:r>
      <w:r w:rsidR="00803F7E" w:rsidRPr="00B75CC6">
        <w:rPr>
          <w:rFonts w:asciiTheme="minorHAnsi" w:hAnsiTheme="minorHAnsi"/>
          <w:b/>
          <w:sz w:val="22"/>
          <w:szCs w:val="22"/>
        </w:rPr>
        <w:t>Be Replaced With California-</w:t>
      </w:r>
      <w:r w:rsidR="00FF60AB" w:rsidRPr="00B75CC6">
        <w:rPr>
          <w:rFonts w:asciiTheme="minorHAnsi" w:hAnsiTheme="minorHAnsi"/>
          <w:b/>
          <w:sz w:val="22"/>
          <w:szCs w:val="22"/>
        </w:rPr>
        <w:t>Specific</w:t>
      </w:r>
      <w:r w:rsidR="00803F7E" w:rsidRPr="00B75CC6">
        <w:rPr>
          <w:rFonts w:asciiTheme="minorHAnsi" w:hAnsiTheme="minorHAnsi"/>
          <w:b/>
          <w:sz w:val="22"/>
          <w:szCs w:val="22"/>
        </w:rPr>
        <w:t xml:space="preserve"> Values</w:t>
      </w:r>
    </w:p>
    <w:p w14:paraId="17F738A3" w14:textId="77777777" w:rsidR="00D20129" w:rsidRDefault="002F699B" w:rsidP="00B75CC6">
      <w:pPr>
        <w:spacing w:after="160" w:line="259" w:lineRule="auto"/>
        <w:ind w:left="720"/>
      </w:pPr>
      <w:r>
        <w:t xml:space="preserve">The DSVIG </w:t>
      </w:r>
      <w:r w:rsidR="006A75F1">
        <w:t>p</w:t>
      </w:r>
      <w:r w:rsidR="006A75F1" w:rsidRPr="006A75F1">
        <w:t xml:space="preserve">roposes </w:t>
      </w:r>
      <w:r w:rsidR="006A75F1">
        <w:t xml:space="preserve">to </w:t>
      </w:r>
      <w:r w:rsidR="006A75F1" w:rsidRPr="006A75F1">
        <w:t xml:space="preserve">use USEPA’s default </w:t>
      </w:r>
      <w:r w:rsidR="00365363">
        <w:t xml:space="preserve">soil vapor </w:t>
      </w:r>
      <w:r w:rsidR="006A75F1" w:rsidRPr="006A75F1">
        <w:t>attenuation factor (</w:t>
      </w:r>
      <w:r>
        <w:t xml:space="preserve">AF; </w:t>
      </w:r>
      <w:r w:rsidR="006A75F1" w:rsidRPr="006A75F1">
        <w:t>0.03)</w:t>
      </w:r>
      <w:r>
        <w:t xml:space="preserve"> for various purposes ranging from indoor air screening of existing buildings to risk management decisions for future buildings. </w:t>
      </w:r>
      <w:r w:rsidR="00BF330B">
        <w:t>T</w:t>
      </w:r>
      <w:r>
        <w:t xml:space="preserve">he DSVIG </w:t>
      </w:r>
      <w:r w:rsidR="0058577B">
        <w:t xml:space="preserve">appropriately </w:t>
      </w:r>
      <w:r w:rsidR="006A75F1" w:rsidRPr="006A75F1">
        <w:t>acknowledge</w:t>
      </w:r>
      <w:r w:rsidR="00BF330B">
        <w:t>s</w:t>
      </w:r>
      <w:r w:rsidR="006A75F1" w:rsidRPr="006A75F1">
        <w:t xml:space="preserve"> some of the shortcomings in the USEPA </w:t>
      </w:r>
      <w:r>
        <w:t xml:space="preserve">AF </w:t>
      </w:r>
      <w:r w:rsidR="006A75F1" w:rsidRPr="006A75F1">
        <w:t>data base (</w:t>
      </w:r>
      <w:r>
        <w:t>very few California data; a</w:t>
      </w:r>
      <w:r w:rsidR="006A75F1" w:rsidRPr="006A75F1">
        <w:t xml:space="preserve"> limited number of buildings designed for commercial or industrial use</w:t>
      </w:r>
      <w:r>
        <w:t xml:space="preserve">; lack of </w:t>
      </w:r>
      <w:r w:rsidR="006A75F1" w:rsidRPr="006A75F1">
        <w:t>site-specific outdoor air data</w:t>
      </w:r>
      <w:r>
        <w:t>; a</w:t>
      </w:r>
      <w:r w:rsidR="006A75F1" w:rsidRPr="006A75F1">
        <w:t xml:space="preserve"> limited number of paired </w:t>
      </w:r>
      <w:r w:rsidR="006A75F1" w:rsidRPr="006A75F1">
        <w:lastRenderedPageBreak/>
        <w:t>indoor air and subsurface samples</w:t>
      </w:r>
      <w:r w:rsidR="004E299C">
        <w:t xml:space="preserve">; see pages 7-8) and </w:t>
      </w:r>
      <w:r w:rsidR="0058577B">
        <w:t xml:space="preserve">it </w:t>
      </w:r>
      <w:r>
        <w:t>commits to developing a California-specific data base</w:t>
      </w:r>
      <w:r w:rsidR="00BF330B">
        <w:t xml:space="preserve">. These </w:t>
      </w:r>
      <w:r w:rsidR="00757F22">
        <w:t xml:space="preserve">statements </w:t>
      </w:r>
      <w:r w:rsidR="00BF330B">
        <w:t>implicitly recognize</w:t>
      </w:r>
      <w:r w:rsidR="00BF330B" w:rsidRPr="006A75F1">
        <w:t xml:space="preserve"> that a single default value based predominantly on data from sites in Colorado and New York </w:t>
      </w:r>
      <w:r w:rsidR="0058577B">
        <w:t xml:space="preserve">cannot </w:t>
      </w:r>
      <w:r w:rsidR="00BF330B" w:rsidRPr="006A75F1">
        <w:t>reasonably represent the VI conditions that exist at sites in California</w:t>
      </w:r>
      <w:r w:rsidR="00BF330B">
        <w:t>.</w:t>
      </w:r>
    </w:p>
    <w:p w14:paraId="02449504" w14:textId="77777777" w:rsidR="006A75F1" w:rsidRDefault="0058577B" w:rsidP="00B75CC6">
      <w:pPr>
        <w:spacing w:after="160" w:line="259" w:lineRule="auto"/>
        <w:ind w:left="720"/>
      </w:pPr>
      <w:r w:rsidRPr="006A75F1">
        <w:t xml:space="preserve">In the best case, use of </w:t>
      </w:r>
      <w:r w:rsidR="00757F22">
        <w:t xml:space="preserve">a </w:t>
      </w:r>
      <w:r w:rsidRPr="006A75F1">
        <w:t xml:space="preserve">0.03 </w:t>
      </w:r>
      <w:r w:rsidR="00757F22">
        <w:t xml:space="preserve">AF </w:t>
      </w:r>
      <w:r w:rsidRPr="006A75F1">
        <w:t xml:space="preserve">as interim policy would substantially increase the number of sites the state </w:t>
      </w:r>
      <w:r w:rsidR="00B7536A">
        <w:t xml:space="preserve">characterizes </w:t>
      </w:r>
      <w:r w:rsidRPr="006A75F1">
        <w:t xml:space="preserve">as </w:t>
      </w:r>
      <w:r>
        <w:t>“</w:t>
      </w:r>
      <w:r w:rsidRPr="006A75F1">
        <w:t>high risk</w:t>
      </w:r>
      <w:r>
        <w:t>”</w:t>
      </w:r>
      <w:r w:rsidRPr="006A75F1">
        <w:t xml:space="preserve"> for purposes of vapor intrusion investigation, diverting limited regulatory </w:t>
      </w:r>
      <w:r w:rsidR="00337B3B">
        <w:t xml:space="preserve">and private </w:t>
      </w:r>
      <w:r w:rsidRPr="006A75F1">
        <w:t>resources from truly hig</w:t>
      </w:r>
      <w:r>
        <w:t xml:space="preserve">h-risk sites to lower risk sites. </w:t>
      </w:r>
      <w:r w:rsidRPr="006A75F1">
        <w:t>Adoption and field use of a final supplemental VI guidance document should be conditioned on completion of a California data base and develo</w:t>
      </w:r>
      <w:r>
        <w:t xml:space="preserve">pment of California-specific AFs. </w:t>
      </w:r>
      <w:r w:rsidRPr="006A75F1">
        <w:t xml:space="preserve">If Cal-EPA must establish an interim </w:t>
      </w:r>
      <w:r w:rsidR="00B7536A">
        <w:t xml:space="preserve">statewide </w:t>
      </w:r>
      <w:r w:rsidRPr="006A75F1">
        <w:t xml:space="preserve">policy while it works toward </w:t>
      </w:r>
      <w:r w:rsidR="00B7536A">
        <w:t>this goal</w:t>
      </w:r>
      <w:r w:rsidRPr="006A75F1">
        <w:t xml:space="preserve">, it should utilize a range of values </w:t>
      </w:r>
      <w:r w:rsidR="00B7536A">
        <w:t>derived</w:t>
      </w:r>
      <w:r w:rsidRPr="006A75F1">
        <w:t xml:space="preserve"> from the soon-to-be-completed DTSC data base</w:t>
      </w:r>
      <w:r w:rsidR="0021550B">
        <w:t xml:space="preserve"> (see next comment)</w:t>
      </w:r>
      <w:r w:rsidR="00B7536A">
        <w:t xml:space="preserve"> and other relevant, published and peer reviewed sources</w:t>
      </w:r>
      <w:r>
        <w:t>.</w:t>
      </w:r>
    </w:p>
    <w:p w14:paraId="1C157F17" w14:textId="77777777" w:rsidR="0021550B" w:rsidRPr="0021550B" w:rsidRDefault="0021550B" w:rsidP="00B75CC6">
      <w:pPr>
        <w:pStyle w:val="ListParagraph"/>
        <w:numPr>
          <w:ilvl w:val="0"/>
          <w:numId w:val="3"/>
        </w:numPr>
        <w:spacing w:after="160" w:line="259" w:lineRule="auto"/>
        <w:rPr>
          <w:b/>
        </w:rPr>
      </w:pPr>
      <w:r w:rsidRPr="0021550B">
        <w:rPr>
          <w:b/>
        </w:rPr>
        <w:t xml:space="preserve">DTSC’s Data Base Should Be The </w:t>
      </w:r>
      <w:r w:rsidR="00837073">
        <w:rPr>
          <w:b/>
        </w:rPr>
        <w:t>Foundation</w:t>
      </w:r>
      <w:r w:rsidRPr="0021550B">
        <w:rPr>
          <w:b/>
        </w:rPr>
        <w:t xml:space="preserve"> For Any Interim Attenuation Factors </w:t>
      </w:r>
    </w:p>
    <w:p w14:paraId="7FB95784" w14:textId="77777777" w:rsidR="0021550B" w:rsidRDefault="0021550B" w:rsidP="00B75CC6">
      <w:pPr>
        <w:spacing w:after="160" w:line="259" w:lineRule="auto"/>
        <w:ind w:left="720"/>
      </w:pPr>
      <w:r>
        <w:t>The DSVIG invites many unanswered questions about how the California data base will be developed, in what timeframe, and whether this work will actually lead to California-specific values that supplant the default USEPA value. More importantly, it f</w:t>
      </w:r>
      <w:r w:rsidRPr="006A75F1">
        <w:t xml:space="preserve">ails to acknowledge that </w:t>
      </w:r>
      <w:r>
        <w:t>this work is already underway at the Department of Toxic Substances Control (DTSC), which</w:t>
      </w:r>
      <w:r w:rsidRPr="006A75F1">
        <w:t xml:space="preserve"> is </w:t>
      </w:r>
      <w:r>
        <w:t xml:space="preserve">nearing completion of a California AF data base using available </w:t>
      </w:r>
      <w:r w:rsidRPr="006A75F1">
        <w:t xml:space="preserve">data from EnviroStor </w:t>
      </w:r>
      <w:r>
        <w:t xml:space="preserve">that meets more rigorous data quality requirements and is far more representative of actual California sites than the USEPA data base. DTSC staff </w:t>
      </w:r>
      <w:r w:rsidRPr="006A75F1">
        <w:t xml:space="preserve">openly discussed </w:t>
      </w:r>
      <w:r>
        <w:t xml:space="preserve">their “Attenuation Factor Study” </w:t>
      </w:r>
      <w:r w:rsidRPr="006A75F1">
        <w:t xml:space="preserve">during </w:t>
      </w:r>
      <w:r>
        <w:t>US</w:t>
      </w:r>
      <w:r w:rsidRPr="006A75F1">
        <w:t xml:space="preserve">EPA’s recent </w:t>
      </w:r>
      <w:r>
        <w:t xml:space="preserve">national </w:t>
      </w:r>
      <w:r w:rsidRPr="006A75F1">
        <w:t>brownfields conference in L</w:t>
      </w:r>
      <w:r>
        <w:t xml:space="preserve">os </w:t>
      </w:r>
      <w:r w:rsidRPr="006A75F1">
        <w:t>A</w:t>
      </w:r>
      <w:r>
        <w:t>ngeles</w:t>
      </w:r>
      <w:r w:rsidRPr="006A75F1">
        <w:t xml:space="preserve"> (December 2019)</w:t>
      </w:r>
      <w:r>
        <w:t>. It should be foundational to any interim guidance and to a future statewide VI policy.</w:t>
      </w:r>
    </w:p>
    <w:p w14:paraId="045F62B6" w14:textId="77777777" w:rsidR="006A75F1" w:rsidRPr="0021550B" w:rsidRDefault="0021550B" w:rsidP="00B75CC6">
      <w:pPr>
        <w:pStyle w:val="ListParagraph"/>
        <w:numPr>
          <w:ilvl w:val="0"/>
          <w:numId w:val="3"/>
        </w:numPr>
        <w:spacing w:after="160" w:line="259" w:lineRule="auto"/>
        <w:rPr>
          <w:b/>
        </w:rPr>
      </w:pPr>
      <w:r>
        <w:rPr>
          <w:b/>
        </w:rPr>
        <w:t xml:space="preserve">DSVIG </w:t>
      </w:r>
      <w:r w:rsidR="006A75F1" w:rsidRPr="0021550B">
        <w:rPr>
          <w:b/>
        </w:rPr>
        <w:t xml:space="preserve">Creates Confusion About </w:t>
      </w:r>
      <w:r>
        <w:rPr>
          <w:b/>
        </w:rPr>
        <w:t xml:space="preserve">Its </w:t>
      </w:r>
      <w:r w:rsidR="006A75F1" w:rsidRPr="0021550B">
        <w:rPr>
          <w:b/>
        </w:rPr>
        <w:t>Intended Applicability</w:t>
      </w:r>
    </w:p>
    <w:p w14:paraId="5A5A880D" w14:textId="77777777" w:rsidR="00380A7D" w:rsidRDefault="006A75F1" w:rsidP="00B75CC6">
      <w:pPr>
        <w:spacing w:after="160" w:line="259" w:lineRule="auto"/>
        <w:ind w:left="720"/>
      </w:pPr>
      <w:r w:rsidRPr="006A75F1">
        <w:t xml:space="preserve">In anticipation of this guidance, </w:t>
      </w:r>
      <w:r w:rsidR="00B7536A">
        <w:t xml:space="preserve">many </w:t>
      </w:r>
      <w:r w:rsidRPr="006A75F1">
        <w:t xml:space="preserve">case managers </w:t>
      </w:r>
      <w:r w:rsidR="00B7536A">
        <w:t xml:space="preserve">at many different agencies </w:t>
      </w:r>
      <w:r w:rsidRPr="006A75F1">
        <w:t>have been citing 0.03 as the default AF for all potential VI si</w:t>
      </w:r>
      <w:r w:rsidR="00102EB5">
        <w:t xml:space="preserve">tes, regardless of the presence or absence of occupied buildings on those sites. </w:t>
      </w:r>
      <w:r w:rsidR="00851305">
        <w:t>A core purpose of the</w:t>
      </w:r>
      <w:r w:rsidR="00102EB5">
        <w:t xml:space="preserve"> DSVIG </w:t>
      </w:r>
      <w:r w:rsidR="00851305">
        <w:t xml:space="preserve">should be to clarify that it only applies to initial screening of occupied buildings. Instead, it </w:t>
      </w:r>
      <w:r w:rsidR="00102EB5">
        <w:t>contains b</w:t>
      </w:r>
      <w:r w:rsidRPr="006A75F1">
        <w:t>road</w:t>
      </w:r>
      <w:r w:rsidR="00851305">
        <w:t>-</w:t>
      </w:r>
      <w:r w:rsidRPr="006A75F1">
        <w:t xml:space="preserve">brush statements </w:t>
      </w:r>
      <w:r w:rsidR="00102EB5">
        <w:t xml:space="preserve">that </w:t>
      </w:r>
      <w:r w:rsidRPr="006A75F1">
        <w:t>are counter-productive</w:t>
      </w:r>
      <w:r w:rsidR="00851305">
        <w:t xml:space="preserve"> to this purpose</w:t>
      </w:r>
      <w:r w:rsidR="00102EB5">
        <w:t xml:space="preserve">. For example, the document </w:t>
      </w:r>
      <w:r w:rsidR="00495C41">
        <w:t>states</w:t>
      </w:r>
      <w:r w:rsidR="00102EB5">
        <w:t xml:space="preserve"> </w:t>
      </w:r>
      <w:r w:rsidRPr="006A75F1">
        <w:t>“The same logic and approach can be extended to the evaluation and management of future VI risk for sites with existing buildings or open l</w:t>
      </w:r>
      <w:r w:rsidR="00102EB5">
        <w:t>ots planned for redevelopment.”</w:t>
      </w:r>
      <w:r w:rsidR="00102EB5">
        <w:rPr>
          <w:rStyle w:val="FootnoteReference"/>
        </w:rPr>
        <w:footnoteReference w:id="1"/>
      </w:r>
      <w:r w:rsidR="00AA50BD">
        <w:t xml:space="preserve"> </w:t>
      </w:r>
      <w:r w:rsidR="00337B3B">
        <w:t>On the one hand, t</w:t>
      </w:r>
      <w:r w:rsidR="00495C41">
        <w:t xml:space="preserve">he DSVIG encourages use of other VI guidance </w:t>
      </w:r>
      <w:r w:rsidR="00337B3B">
        <w:t>and, on the other hand,</w:t>
      </w:r>
      <w:r w:rsidR="00495C41">
        <w:t xml:space="preserve"> indicates that where conflicts arise, the DSVIG should take precedence. </w:t>
      </w:r>
      <w:r w:rsidR="00380A7D" w:rsidRPr="006A75F1">
        <w:t xml:space="preserve">DTSC announced </w:t>
      </w:r>
      <w:r w:rsidR="00380A7D">
        <w:t xml:space="preserve">at the </w:t>
      </w:r>
      <w:r w:rsidR="00380A7D" w:rsidRPr="006A75F1">
        <w:t xml:space="preserve">December </w:t>
      </w:r>
      <w:r w:rsidR="00380A7D">
        <w:t xml:space="preserve">2019 brownfields conference that it will recommend </w:t>
      </w:r>
      <w:r w:rsidR="00380A7D" w:rsidRPr="006A75F1">
        <w:t>AFs of .001 for new residential buildings and .0005 for new commercial buildings</w:t>
      </w:r>
      <w:r w:rsidR="00380A7D">
        <w:t xml:space="preserve">. DTSC’s values clearly </w:t>
      </w:r>
      <w:r w:rsidR="00337B3B">
        <w:t>conflict with a 0.03 AF</w:t>
      </w:r>
      <w:r w:rsidR="00495C41">
        <w:t>.</w:t>
      </w:r>
      <w:r w:rsidR="00337B3B">
        <w:t xml:space="preserve"> The DSVIG appears to require across the board use of an AF developed in 2015 from predominantly out-of-state data, rather than DTSC AFs developed on 2019-2020 exclusively from California data.  </w:t>
      </w:r>
    </w:p>
    <w:p w14:paraId="5E2253CE" w14:textId="77777777" w:rsidR="006A75F1" w:rsidRDefault="006A75F1" w:rsidP="00B75CC6">
      <w:pPr>
        <w:spacing w:after="160" w:line="259" w:lineRule="auto"/>
        <w:ind w:left="720"/>
      </w:pPr>
      <w:r w:rsidRPr="006A75F1">
        <w:t xml:space="preserve">Absent explicit statements restricting </w:t>
      </w:r>
      <w:r w:rsidR="00495C41">
        <w:t xml:space="preserve">its </w:t>
      </w:r>
      <w:r w:rsidRPr="006A75F1">
        <w:t>application</w:t>
      </w:r>
      <w:r w:rsidR="00495C41">
        <w:t xml:space="preserve"> to a clearly defined set of circumstances, </w:t>
      </w:r>
      <w:r w:rsidRPr="006A75F1">
        <w:t xml:space="preserve">the </w:t>
      </w:r>
      <w:r w:rsidR="00AA50BD">
        <w:t>DSVIG</w:t>
      </w:r>
      <w:r w:rsidR="00495C41">
        <w:t xml:space="preserve"> will exacerbate the </w:t>
      </w:r>
      <w:r w:rsidRPr="006A75F1">
        <w:t xml:space="preserve">confusion </w:t>
      </w:r>
      <w:r w:rsidR="00495C41">
        <w:t xml:space="preserve">that already exists </w:t>
      </w:r>
      <w:r w:rsidR="00AA50BD">
        <w:t xml:space="preserve">in the field </w:t>
      </w:r>
      <w:r w:rsidRPr="006A75F1">
        <w:t xml:space="preserve">about how to evaluate </w:t>
      </w:r>
      <w:r w:rsidRPr="006A75F1">
        <w:lastRenderedPageBreak/>
        <w:t xml:space="preserve">potential VI risk </w:t>
      </w:r>
      <w:r w:rsidR="00380A7D">
        <w:t>under other circumstances</w:t>
      </w:r>
      <w:r w:rsidR="00AA50BD">
        <w:t>.</w:t>
      </w:r>
      <w:r w:rsidR="00851305">
        <w:t xml:space="preserve"> </w:t>
      </w:r>
      <w:r w:rsidR="00380A7D">
        <w:t>Th</w:t>
      </w:r>
      <w:r w:rsidR="00495C41">
        <w:t>at</w:t>
      </w:r>
      <w:r w:rsidR="00380A7D">
        <w:t xml:space="preserve"> confusion will </w:t>
      </w:r>
      <w:r w:rsidR="00851305" w:rsidRPr="006A75F1">
        <w:t xml:space="preserve">lead to remedies that </w:t>
      </w:r>
      <w:r w:rsidR="00380A7D">
        <w:t xml:space="preserve">are more </w:t>
      </w:r>
      <w:r w:rsidR="00337B3B">
        <w:t>costly</w:t>
      </w:r>
      <w:r w:rsidR="00380A7D">
        <w:t xml:space="preserve"> than necessary to protect public health</w:t>
      </w:r>
      <w:r w:rsidR="00D20129">
        <w:t>.</w:t>
      </w:r>
    </w:p>
    <w:p w14:paraId="65F5F40E" w14:textId="77777777" w:rsidR="00D20129" w:rsidRPr="0021550B" w:rsidRDefault="00D20129" w:rsidP="00B75CC6">
      <w:pPr>
        <w:pStyle w:val="ListParagraph"/>
        <w:numPr>
          <w:ilvl w:val="0"/>
          <w:numId w:val="3"/>
        </w:numPr>
        <w:spacing w:after="160" w:line="259" w:lineRule="auto"/>
        <w:rPr>
          <w:b/>
        </w:rPr>
      </w:pPr>
      <w:r w:rsidRPr="0021550B">
        <w:rPr>
          <w:b/>
        </w:rPr>
        <w:t>Cleanup Goals Should Be Site-Specific</w:t>
      </w:r>
    </w:p>
    <w:p w14:paraId="27A09E58" w14:textId="77777777" w:rsidR="00D20129" w:rsidRPr="006A75F1" w:rsidRDefault="00D20129" w:rsidP="00B75CC6">
      <w:pPr>
        <w:spacing w:after="160" w:line="259" w:lineRule="auto"/>
        <w:ind w:left="720"/>
      </w:pPr>
      <w:r w:rsidRPr="006A75F1">
        <w:t xml:space="preserve">The DSVIG states that cleanup goals should be site-specific and implies that the default attenuation factor of 0.03 </w:t>
      </w:r>
      <w:r>
        <w:t xml:space="preserve">is not required to support these decisions. </w:t>
      </w:r>
      <w:r w:rsidRPr="006A75F1">
        <w:t xml:space="preserve">However, no guidance is provided on how site-specific values </w:t>
      </w:r>
      <w:r>
        <w:t xml:space="preserve">can </w:t>
      </w:r>
      <w:r w:rsidRPr="006A75F1">
        <w:t>be de</w:t>
      </w:r>
      <w:r>
        <w:t>veloped</w:t>
      </w:r>
      <w:r w:rsidRPr="006A75F1">
        <w:t xml:space="preserve">. DTSC has stated that </w:t>
      </w:r>
      <w:r>
        <w:t>it is</w:t>
      </w:r>
      <w:r w:rsidRPr="006A75F1">
        <w:t xml:space="preserve"> working on </w:t>
      </w:r>
      <w:r>
        <w:t xml:space="preserve">separate </w:t>
      </w:r>
      <w:r w:rsidRPr="006A75F1">
        <w:t xml:space="preserve">guidance to address this </w:t>
      </w:r>
      <w:r>
        <w:t xml:space="preserve">information </w:t>
      </w:r>
      <w:r w:rsidRPr="006A75F1">
        <w:t xml:space="preserve">gap, but </w:t>
      </w:r>
      <w:r>
        <w:t xml:space="preserve">this work </w:t>
      </w:r>
      <w:r w:rsidRPr="006A75F1">
        <w:t xml:space="preserve">is not </w:t>
      </w:r>
      <w:r>
        <w:t>acknowledged</w:t>
      </w:r>
      <w:r w:rsidRPr="006A75F1">
        <w:t xml:space="preserve"> in the DSVIG.</w:t>
      </w:r>
      <w:r>
        <w:t xml:space="preserve"> </w:t>
      </w:r>
      <w:r w:rsidRPr="006A75F1">
        <w:t>Furthermore, the DSVIG states that risk management decisions for future VI risk should be based on cumulative risk calculations using sub</w:t>
      </w:r>
      <w:r>
        <w:t>-</w:t>
      </w:r>
      <w:r w:rsidRPr="006A75F1">
        <w:t xml:space="preserve">slab vapor data and an attenuation factor of 0.03. The approach shown in Step 3 of the flow chart does not allow for site-specific assessments of cleanup goals. The ability to use site-specific data to make risk-based decisions for cleanup goals must be clearly </w:t>
      </w:r>
      <w:r>
        <w:t xml:space="preserve">delineated </w:t>
      </w:r>
      <w:r w:rsidRPr="006A75F1">
        <w:t>in the guidance.</w:t>
      </w:r>
    </w:p>
    <w:p w14:paraId="57E766F7" w14:textId="77777777" w:rsidR="00D20129" w:rsidRPr="0021550B" w:rsidRDefault="0021550B" w:rsidP="00B75CC6">
      <w:pPr>
        <w:pStyle w:val="ListParagraph"/>
        <w:numPr>
          <w:ilvl w:val="0"/>
          <w:numId w:val="3"/>
        </w:numPr>
        <w:spacing w:after="160" w:line="259" w:lineRule="auto"/>
        <w:rPr>
          <w:b/>
        </w:rPr>
      </w:pPr>
      <w:r w:rsidRPr="0021550B">
        <w:rPr>
          <w:b/>
        </w:rPr>
        <w:t xml:space="preserve">Proposed </w:t>
      </w:r>
      <w:r w:rsidR="00D20129" w:rsidRPr="0021550B">
        <w:rPr>
          <w:b/>
        </w:rPr>
        <w:t>Investigation Requirements Are Too Prescriptive</w:t>
      </w:r>
    </w:p>
    <w:p w14:paraId="6365F921" w14:textId="77777777" w:rsidR="00D20129" w:rsidRPr="006A75F1" w:rsidRDefault="00D20129" w:rsidP="00B75CC6">
      <w:pPr>
        <w:spacing w:after="160" w:line="259" w:lineRule="auto"/>
        <w:ind w:left="720"/>
      </w:pPr>
      <w:r w:rsidRPr="006A75F1">
        <w:t>The DSVIG includes very prescriptive investigation requirements for the collection of soil gas, sub-slab, indoor air, and outdoor air data. The guidance specifies the minimum number of samples to be</w:t>
      </w:r>
      <w:r>
        <w:t xml:space="preserve"> collected regardless</w:t>
      </w:r>
      <w:r w:rsidRPr="006A75F1">
        <w:t xml:space="preserve"> of whether the high sample density described in the guidance provides a </w:t>
      </w:r>
      <w:r>
        <w:t xml:space="preserve">more accurate </w:t>
      </w:r>
      <w:r w:rsidRPr="006A75F1">
        <w:t xml:space="preserve">assessment of the vapor intrusion pathway. For </w:t>
      </w:r>
      <w:r>
        <w:t>example, the guidance requires</w:t>
      </w:r>
      <w:r w:rsidRPr="006A75F1">
        <w:t xml:space="preserve"> collection of three outdoor air samples for every sampling event. However, there is typically little difference in outdoor air concentrations around a structure</w:t>
      </w:r>
      <w:r>
        <w:t>. Such</w:t>
      </w:r>
      <w:r w:rsidRPr="006A75F1">
        <w:t xml:space="preserve"> detailed assessment</w:t>
      </w:r>
      <w:r>
        <w:t>s</w:t>
      </w:r>
      <w:r w:rsidRPr="006A75F1">
        <w:t xml:space="preserve"> will </w:t>
      </w:r>
      <w:r>
        <w:t>only serve to increase site investigation costs without a corresponding regulatory or public health benefit</w:t>
      </w:r>
      <w:r w:rsidRPr="006A75F1">
        <w:t>.</w:t>
      </w:r>
    </w:p>
    <w:p w14:paraId="5A135A4D" w14:textId="77777777" w:rsidR="00D20129" w:rsidRPr="0021550B" w:rsidRDefault="00D20129" w:rsidP="00B75CC6">
      <w:pPr>
        <w:pStyle w:val="ListParagraph"/>
        <w:numPr>
          <w:ilvl w:val="0"/>
          <w:numId w:val="3"/>
        </w:numPr>
        <w:spacing w:after="160" w:line="259" w:lineRule="auto"/>
        <w:rPr>
          <w:b/>
        </w:rPr>
      </w:pPr>
      <w:r w:rsidRPr="0021550B">
        <w:rPr>
          <w:b/>
        </w:rPr>
        <w:t>Emphasis On Vapor Conduits Without Adequate Guidance Will Disrupt Site Cleanups</w:t>
      </w:r>
    </w:p>
    <w:p w14:paraId="337C2AB8" w14:textId="77777777" w:rsidR="00495C41" w:rsidRDefault="00D20129" w:rsidP="00B75CC6">
      <w:pPr>
        <w:spacing w:after="160" w:line="259" w:lineRule="auto"/>
        <w:ind w:left="720"/>
        <w:rPr>
          <w:color w:val="201F1E"/>
          <w:shd w:val="clear" w:color="auto" w:fill="FFFFFF"/>
        </w:rPr>
      </w:pPr>
      <w:r w:rsidRPr="006A75F1">
        <w:rPr>
          <w:color w:val="201F1E"/>
          <w:shd w:val="clear" w:color="auto" w:fill="FFFFFF"/>
        </w:rPr>
        <w:t xml:space="preserve">The </w:t>
      </w:r>
      <w:r>
        <w:rPr>
          <w:color w:val="201F1E"/>
          <w:shd w:val="clear" w:color="auto" w:fill="FFFFFF"/>
        </w:rPr>
        <w:t>DSVIG</w:t>
      </w:r>
      <w:r w:rsidRPr="006A75F1">
        <w:rPr>
          <w:color w:val="201F1E"/>
          <w:shd w:val="clear" w:color="auto" w:fill="FFFFFF"/>
        </w:rPr>
        <w:t xml:space="preserve"> emphasizes the potential for “vapor conduits” (e.g., sewers) to convey </w:t>
      </w:r>
      <w:r>
        <w:rPr>
          <w:color w:val="201F1E"/>
          <w:shd w:val="clear" w:color="auto" w:fill="FFFFFF"/>
        </w:rPr>
        <w:t>vapor forming compounds (</w:t>
      </w:r>
      <w:r w:rsidRPr="006A75F1">
        <w:rPr>
          <w:color w:val="201F1E"/>
          <w:shd w:val="clear" w:color="auto" w:fill="FFFFFF"/>
        </w:rPr>
        <w:t>VFCs</w:t>
      </w:r>
      <w:r>
        <w:rPr>
          <w:color w:val="201F1E"/>
          <w:shd w:val="clear" w:color="auto" w:fill="FFFFFF"/>
        </w:rPr>
        <w:t>)</w:t>
      </w:r>
      <w:r w:rsidRPr="006A75F1">
        <w:rPr>
          <w:color w:val="201F1E"/>
          <w:shd w:val="clear" w:color="auto" w:fill="FFFFFF"/>
        </w:rPr>
        <w:t xml:space="preserve"> beneath or directly into buildings. The </w:t>
      </w:r>
      <w:r>
        <w:rPr>
          <w:color w:val="201F1E"/>
          <w:shd w:val="clear" w:color="auto" w:fill="FFFFFF"/>
        </w:rPr>
        <w:t>DSVIG</w:t>
      </w:r>
      <w:r w:rsidRPr="006A75F1">
        <w:rPr>
          <w:color w:val="201F1E"/>
          <w:shd w:val="clear" w:color="auto" w:fill="FFFFFF"/>
        </w:rPr>
        <w:t xml:space="preserve"> indicates indoor air sampling may be warranted for “Buildings connected to vapor conduits that intersect significant levels of contamination” (Step 1B.2), but does not provide guidance regarding the likelihood of such conveyance or </w:t>
      </w:r>
      <w:r>
        <w:rPr>
          <w:color w:val="201F1E"/>
          <w:shd w:val="clear" w:color="auto" w:fill="FFFFFF"/>
        </w:rPr>
        <w:t>what</w:t>
      </w:r>
      <w:r w:rsidRPr="006A75F1">
        <w:rPr>
          <w:color w:val="201F1E"/>
          <w:shd w:val="clear" w:color="auto" w:fill="FFFFFF"/>
        </w:rPr>
        <w:t xml:space="preserve"> levels of contamination </w:t>
      </w:r>
      <w:r>
        <w:rPr>
          <w:color w:val="201F1E"/>
          <w:shd w:val="clear" w:color="auto" w:fill="FFFFFF"/>
        </w:rPr>
        <w:t>would be considered</w:t>
      </w:r>
      <w:r w:rsidRPr="006A75F1">
        <w:rPr>
          <w:color w:val="201F1E"/>
          <w:shd w:val="clear" w:color="auto" w:fill="FFFFFF"/>
        </w:rPr>
        <w:t xml:space="preserve"> “significant.” This emphasis on vapor conduits without adequate guidance </w:t>
      </w:r>
      <w:r>
        <w:rPr>
          <w:color w:val="201F1E"/>
          <w:shd w:val="clear" w:color="auto" w:fill="FFFFFF"/>
        </w:rPr>
        <w:t xml:space="preserve">will disrupt most site cleanups </w:t>
      </w:r>
      <w:r w:rsidRPr="006A75F1">
        <w:rPr>
          <w:color w:val="201F1E"/>
          <w:shd w:val="clear" w:color="auto" w:fill="FFFFFF"/>
        </w:rPr>
        <w:t>because virtually all buildings</w:t>
      </w:r>
      <w:r>
        <w:rPr>
          <w:color w:val="201F1E"/>
          <w:shd w:val="clear" w:color="auto" w:fill="FFFFFF"/>
        </w:rPr>
        <w:t xml:space="preserve"> and many brownfield properties</w:t>
      </w:r>
      <w:r w:rsidRPr="006A75F1">
        <w:rPr>
          <w:color w:val="201F1E"/>
          <w:shd w:val="clear" w:color="auto" w:fill="FFFFFF"/>
        </w:rPr>
        <w:t xml:space="preserve"> evaluated for a potential vapor intrusion condition </w:t>
      </w:r>
      <w:r w:rsidR="00337B3B">
        <w:rPr>
          <w:color w:val="201F1E"/>
          <w:shd w:val="clear" w:color="auto" w:fill="FFFFFF"/>
        </w:rPr>
        <w:t>contain</w:t>
      </w:r>
      <w:r w:rsidRPr="006A75F1">
        <w:rPr>
          <w:color w:val="201F1E"/>
          <w:shd w:val="clear" w:color="auto" w:fill="FFFFFF"/>
        </w:rPr>
        <w:t xml:space="preserve"> vapor conduits</w:t>
      </w:r>
      <w:r>
        <w:rPr>
          <w:color w:val="201F1E"/>
          <w:shd w:val="clear" w:color="auto" w:fill="FFFFFF"/>
        </w:rPr>
        <w:t>. However, both the</w:t>
      </w:r>
      <w:r w:rsidRPr="006A75F1">
        <w:rPr>
          <w:color w:val="201F1E"/>
          <w:shd w:val="clear" w:color="auto" w:fill="FFFFFF"/>
        </w:rPr>
        <w:t xml:space="preserve"> professional literature </w:t>
      </w:r>
      <w:r>
        <w:rPr>
          <w:color w:val="201F1E"/>
          <w:shd w:val="clear" w:color="auto" w:fill="FFFFFF"/>
        </w:rPr>
        <w:t xml:space="preserve">and decades of field experience </w:t>
      </w:r>
      <w:r w:rsidRPr="006A75F1">
        <w:rPr>
          <w:color w:val="201F1E"/>
          <w:shd w:val="clear" w:color="auto" w:fill="FFFFFF"/>
        </w:rPr>
        <w:t>indicate that instances of vapor conduits playing a significant role in vapor intrusion are rare. Without further guidance or clarification, th</w:t>
      </w:r>
      <w:r>
        <w:rPr>
          <w:color w:val="201F1E"/>
          <w:shd w:val="clear" w:color="auto" w:fill="FFFFFF"/>
        </w:rPr>
        <w:t xml:space="preserve">e DSVIG’s </w:t>
      </w:r>
      <w:r w:rsidRPr="006A75F1">
        <w:rPr>
          <w:color w:val="201F1E"/>
          <w:shd w:val="clear" w:color="auto" w:fill="FFFFFF"/>
        </w:rPr>
        <w:t>emphasis on vapor conduits will likely lead to unnecessary investigation, including indoor air sampling</w:t>
      </w:r>
      <w:r>
        <w:rPr>
          <w:color w:val="201F1E"/>
          <w:shd w:val="clear" w:color="auto" w:fill="FFFFFF"/>
        </w:rPr>
        <w:t>.</w:t>
      </w:r>
    </w:p>
    <w:p w14:paraId="3D7F9A27" w14:textId="77777777" w:rsidR="002A155D" w:rsidRPr="00C3074E" w:rsidRDefault="00C3074E" w:rsidP="00B75CC6">
      <w:pPr>
        <w:pStyle w:val="ListParagraph"/>
        <w:numPr>
          <w:ilvl w:val="0"/>
          <w:numId w:val="3"/>
        </w:numPr>
        <w:spacing w:after="160" w:line="259" w:lineRule="auto"/>
        <w:rPr>
          <w:rFonts w:ascii="Calibri" w:hAnsi="Calibri"/>
          <w:b/>
          <w:color w:val="201F1E"/>
          <w:shd w:val="clear" w:color="auto" w:fill="FFFFFF"/>
        </w:rPr>
      </w:pPr>
      <w:r w:rsidRPr="00C3074E">
        <w:rPr>
          <w:rFonts w:ascii="Calibri" w:hAnsi="Calibri"/>
          <w:b/>
          <w:color w:val="201F1E"/>
          <w:shd w:val="clear" w:color="auto" w:fill="FFFFFF"/>
        </w:rPr>
        <w:t xml:space="preserve">Requirements For Future Risk Evaluation Will Lead to Open-Ended Assessments </w:t>
      </w:r>
    </w:p>
    <w:p w14:paraId="6349A4AE" w14:textId="77777777" w:rsidR="00C3074E" w:rsidRDefault="002A155D" w:rsidP="00B75CC6">
      <w:pPr>
        <w:spacing w:after="160" w:line="259" w:lineRule="auto"/>
        <w:ind w:left="720"/>
        <w:rPr>
          <w:rFonts w:ascii="Calibri" w:hAnsi="Calibri"/>
          <w:color w:val="201F1E"/>
          <w:shd w:val="clear" w:color="auto" w:fill="FFFFFF"/>
        </w:rPr>
      </w:pPr>
      <w:r>
        <w:rPr>
          <w:rFonts w:ascii="Calibri" w:hAnsi="Calibri"/>
          <w:color w:val="201F1E"/>
          <w:shd w:val="clear" w:color="auto" w:fill="FFFFFF"/>
        </w:rPr>
        <w:t xml:space="preserve">The DSVIG states that indoor air data should be used for current risk evaluations and soil gas/sub-slab data should be used for future risk evaluations. Under these conditions, even if indoor air concentrations are non-detect, responsible parties could still be required to mitigate if soil gas/sub-slab concentrations exceed screening levels.  Specifically, as outlined in the Risk Management Decision Framework for Vapor Intrusion, action may be required if the future risk at a building exceeds a cancer risk of 1 x 10-6 or a non-cancer hazard index of 1.  For some of the </w:t>
      </w:r>
      <w:r>
        <w:rPr>
          <w:rFonts w:ascii="Calibri" w:hAnsi="Calibri"/>
          <w:color w:val="201F1E"/>
          <w:shd w:val="clear" w:color="auto" w:fill="FFFFFF"/>
        </w:rPr>
        <w:lastRenderedPageBreak/>
        <w:t xml:space="preserve">most common chemicals such as TCE and PCE, this would require action at sites where sub-slab soil gas concentrations are above ~100 ug/m3 (for commercial) or ~20 ug/m3 (for residential), even if indoor air concentrations are non-detect. This policy would </w:t>
      </w:r>
      <w:r w:rsidR="00337B3B">
        <w:rPr>
          <w:rFonts w:ascii="Calibri" w:hAnsi="Calibri"/>
          <w:color w:val="201F1E"/>
          <w:shd w:val="clear" w:color="auto" w:fill="FFFFFF"/>
        </w:rPr>
        <w:t>impose</w:t>
      </w:r>
      <w:r>
        <w:rPr>
          <w:rFonts w:ascii="Calibri" w:hAnsi="Calibri"/>
          <w:color w:val="201F1E"/>
          <w:shd w:val="clear" w:color="auto" w:fill="FFFFFF"/>
        </w:rPr>
        <w:t xml:space="preserve"> unnecessary and potentially </w:t>
      </w:r>
      <w:r w:rsidR="00337B3B">
        <w:rPr>
          <w:rFonts w:ascii="Calibri" w:hAnsi="Calibri"/>
          <w:color w:val="201F1E"/>
          <w:shd w:val="clear" w:color="auto" w:fill="FFFFFF"/>
        </w:rPr>
        <w:t>large costs</w:t>
      </w:r>
      <w:r>
        <w:rPr>
          <w:rFonts w:ascii="Calibri" w:hAnsi="Calibri"/>
          <w:color w:val="201F1E"/>
          <w:shd w:val="clear" w:color="auto" w:fill="FFFFFF"/>
        </w:rPr>
        <w:t xml:space="preserve"> for developers, responsible parties and even building</w:t>
      </w:r>
      <w:r w:rsidR="00C3074E">
        <w:rPr>
          <w:rFonts w:ascii="Calibri" w:hAnsi="Calibri"/>
          <w:color w:val="201F1E"/>
          <w:shd w:val="clear" w:color="auto" w:fill="FFFFFF"/>
        </w:rPr>
        <w:t xml:space="preserve"> and </w:t>
      </w:r>
      <w:r>
        <w:rPr>
          <w:rFonts w:ascii="Calibri" w:hAnsi="Calibri"/>
          <w:color w:val="201F1E"/>
          <w:shd w:val="clear" w:color="auto" w:fill="FFFFFF"/>
        </w:rPr>
        <w:t xml:space="preserve">home owners. In many cases, it will lead to on-going assessments that have no realistic endpoint or installation of mitigation systems that are not necessary to protect public </w:t>
      </w:r>
      <w:r w:rsidRPr="000A5892">
        <w:rPr>
          <w:rFonts w:ascii="Calibri" w:hAnsi="Calibri"/>
          <w:color w:val="201F1E"/>
          <w:shd w:val="clear" w:color="auto" w:fill="FFFFFF"/>
        </w:rPr>
        <w:t>health</w:t>
      </w:r>
      <w:r w:rsidR="00C3074E">
        <w:rPr>
          <w:rFonts w:ascii="Calibri" w:hAnsi="Calibri"/>
          <w:color w:val="201F1E"/>
          <w:shd w:val="clear" w:color="auto" w:fill="FFFFFF"/>
        </w:rPr>
        <w:t>.</w:t>
      </w:r>
    </w:p>
    <w:p w14:paraId="1B3F913D" w14:textId="77777777" w:rsidR="00495C41" w:rsidRPr="00D8750B" w:rsidRDefault="002A155D" w:rsidP="00D8750B">
      <w:pPr>
        <w:spacing w:after="160" w:line="259" w:lineRule="auto"/>
        <w:ind w:left="720"/>
        <w:rPr>
          <w:color w:val="201F1E"/>
          <w:shd w:val="clear" w:color="auto" w:fill="FFFFFF"/>
        </w:rPr>
      </w:pPr>
      <w:r w:rsidRPr="00D8750B">
        <w:rPr>
          <w:color w:val="201F1E"/>
          <w:shd w:val="clear" w:color="auto" w:fill="FFFFFF"/>
        </w:rPr>
        <w:t>Although the DSVIG indicates that a refined risk assessment or alternative attenuation factors can be used, it does not provide guidance on how these options could be exercised or how much data would be necessary</w:t>
      </w:r>
      <w:r w:rsidR="007B2D0A">
        <w:rPr>
          <w:color w:val="201F1E"/>
          <w:shd w:val="clear" w:color="auto" w:fill="FFFFFF"/>
        </w:rPr>
        <w:t xml:space="preserve"> to support alternative inputs.</w:t>
      </w:r>
    </w:p>
    <w:p w14:paraId="70B38575" w14:textId="77777777" w:rsidR="00D8750B" w:rsidRPr="00D8750B" w:rsidRDefault="00D8750B" w:rsidP="00D8750B">
      <w:pPr>
        <w:pStyle w:val="NormalWeb"/>
        <w:numPr>
          <w:ilvl w:val="0"/>
          <w:numId w:val="3"/>
        </w:numPr>
        <w:spacing w:before="0" w:beforeAutospacing="0" w:after="160" w:afterAutospacing="0" w:line="259" w:lineRule="auto"/>
        <w:rPr>
          <w:rFonts w:asciiTheme="minorHAnsi" w:hAnsiTheme="minorHAnsi"/>
          <w:b/>
          <w:color w:val="000000"/>
          <w:sz w:val="22"/>
          <w:szCs w:val="22"/>
        </w:rPr>
      </w:pPr>
      <w:r w:rsidRPr="00D8750B">
        <w:rPr>
          <w:rFonts w:asciiTheme="minorHAnsi" w:hAnsiTheme="minorHAnsi"/>
          <w:b/>
          <w:color w:val="000000"/>
          <w:sz w:val="22"/>
          <w:szCs w:val="22"/>
        </w:rPr>
        <w:t>The DSVIG Is An Underground Regulation</w:t>
      </w:r>
    </w:p>
    <w:p w14:paraId="3213D177" w14:textId="77777777" w:rsidR="006A75F1" w:rsidRPr="00D8750B" w:rsidRDefault="00D8750B" w:rsidP="00D8750B">
      <w:pPr>
        <w:pStyle w:val="NormalWeb"/>
        <w:spacing w:before="0" w:beforeAutospacing="0" w:after="160" w:afterAutospacing="0" w:line="259" w:lineRule="auto"/>
        <w:ind w:left="720"/>
        <w:rPr>
          <w:rFonts w:asciiTheme="minorHAnsi" w:hAnsiTheme="minorHAnsi"/>
          <w:color w:val="000000"/>
          <w:sz w:val="22"/>
          <w:szCs w:val="22"/>
        </w:rPr>
      </w:pPr>
      <w:r w:rsidRPr="00D8750B">
        <w:rPr>
          <w:rFonts w:asciiTheme="minorHAnsi" w:hAnsiTheme="minorHAnsi"/>
          <w:color w:val="000000"/>
          <w:sz w:val="22"/>
          <w:szCs w:val="22"/>
        </w:rPr>
        <w:t xml:space="preserve">In California, an agency rule or standard is subject to the rulemaking provisions of the Administrative Procedure Act if: (1) it applies generally rather than to a specific case; and (2) it implements, interprets, or makes specific the law administered by the agency imposing it. (Gov’t Code § 11342.600.) By its own terms, the </w:t>
      </w:r>
      <w:r>
        <w:rPr>
          <w:rFonts w:asciiTheme="minorHAnsi" w:hAnsiTheme="minorHAnsi"/>
          <w:color w:val="000000"/>
          <w:sz w:val="22"/>
          <w:szCs w:val="22"/>
        </w:rPr>
        <w:t>DSVIG</w:t>
      </w:r>
      <w:r w:rsidRPr="00D8750B">
        <w:rPr>
          <w:rFonts w:asciiTheme="minorHAnsi" w:hAnsiTheme="minorHAnsi"/>
          <w:color w:val="000000"/>
          <w:sz w:val="22"/>
          <w:szCs w:val="22"/>
        </w:rPr>
        <w:t xml:space="preserve"> applies generally. The stated purpose of the </w:t>
      </w:r>
      <w:r>
        <w:rPr>
          <w:rFonts w:asciiTheme="minorHAnsi" w:hAnsiTheme="minorHAnsi"/>
          <w:color w:val="000000"/>
          <w:sz w:val="22"/>
          <w:szCs w:val="22"/>
        </w:rPr>
        <w:t>document</w:t>
      </w:r>
      <w:r w:rsidRPr="00D8750B">
        <w:rPr>
          <w:rFonts w:asciiTheme="minorHAnsi" w:hAnsiTheme="minorHAnsi"/>
          <w:color w:val="000000"/>
          <w:sz w:val="22"/>
          <w:szCs w:val="22"/>
        </w:rPr>
        <w:t xml:space="preserve"> is to create a “state-wide standard practice” that is “to be used by practitioners and regulators when screening buildings for subsurface vapor risk to building occupant</w:t>
      </w:r>
      <w:r>
        <w:rPr>
          <w:rFonts w:asciiTheme="minorHAnsi" w:hAnsiTheme="minorHAnsi"/>
          <w:color w:val="000000"/>
          <w:sz w:val="22"/>
          <w:szCs w:val="22"/>
        </w:rPr>
        <w:t>s</w:t>
      </w:r>
      <w:r w:rsidRPr="00D8750B">
        <w:rPr>
          <w:rFonts w:asciiTheme="minorHAnsi" w:hAnsiTheme="minorHAnsi"/>
          <w:color w:val="000000"/>
          <w:sz w:val="22"/>
          <w:szCs w:val="22"/>
        </w:rPr>
        <w:t xml:space="preserve">.” The </w:t>
      </w:r>
      <w:r>
        <w:rPr>
          <w:rFonts w:asciiTheme="minorHAnsi" w:hAnsiTheme="minorHAnsi"/>
          <w:color w:val="000000"/>
          <w:sz w:val="22"/>
          <w:szCs w:val="22"/>
        </w:rPr>
        <w:t>DSVIG</w:t>
      </w:r>
      <w:r w:rsidRPr="00D8750B">
        <w:rPr>
          <w:rFonts w:asciiTheme="minorHAnsi" w:hAnsiTheme="minorHAnsi"/>
          <w:color w:val="000000"/>
          <w:sz w:val="22"/>
          <w:szCs w:val="22"/>
        </w:rPr>
        <w:t xml:space="preserve"> states that when pre-existing guidance conflicts with it, the provisions of the </w:t>
      </w:r>
      <w:r>
        <w:rPr>
          <w:rFonts w:asciiTheme="minorHAnsi" w:hAnsiTheme="minorHAnsi"/>
          <w:color w:val="000000"/>
          <w:sz w:val="22"/>
          <w:szCs w:val="22"/>
        </w:rPr>
        <w:t>DSVIG</w:t>
      </w:r>
      <w:r w:rsidRPr="00D8750B">
        <w:rPr>
          <w:rFonts w:asciiTheme="minorHAnsi" w:hAnsiTheme="minorHAnsi"/>
          <w:color w:val="000000"/>
          <w:sz w:val="22"/>
          <w:szCs w:val="22"/>
        </w:rPr>
        <w:t xml:space="preserve"> “should be followed.” The </w:t>
      </w:r>
      <w:r>
        <w:rPr>
          <w:rFonts w:asciiTheme="minorHAnsi" w:hAnsiTheme="minorHAnsi"/>
          <w:color w:val="000000"/>
          <w:sz w:val="22"/>
          <w:szCs w:val="22"/>
        </w:rPr>
        <w:t>DSVIG</w:t>
      </w:r>
      <w:r w:rsidRPr="00D8750B">
        <w:rPr>
          <w:rFonts w:asciiTheme="minorHAnsi" w:hAnsiTheme="minorHAnsi"/>
          <w:color w:val="000000"/>
          <w:sz w:val="22"/>
          <w:szCs w:val="22"/>
        </w:rPr>
        <w:t xml:space="preserve"> interprets and makes specific the law regarding hazardous subst</w:t>
      </w:r>
      <w:r>
        <w:rPr>
          <w:rFonts w:asciiTheme="minorHAnsi" w:hAnsiTheme="minorHAnsi"/>
          <w:color w:val="000000"/>
          <w:sz w:val="22"/>
          <w:szCs w:val="22"/>
        </w:rPr>
        <w:t>ance site cleanups. It</w:t>
      </w:r>
      <w:r w:rsidRPr="00D8750B">
        <w:rPr>
          <w:rFonts w:asciiTheme="minorHAnsi" w:hAnsiTheme="minorHAnsi"/>
          <w:color w:val="000000"/>
          <w:sz w:val="22"/>
          <w:szCs w:val="22"/>
        </w:rPr>
        <w:t xml:space="preserve"> sets forth five equations that are to be used in analyzing vapor intrusion risks and specifies the key parameter (an “attenuation factor”) that “should be used” in the equations. Among other things, the </w:t>
      </w:r>
      <w:r>
        <w:rPr>
          <w:rFonts w:asciiTheme="minorHAnsi" w:hAnsiTheme="minorHAnsi"/>
          <w:color w:val="000000"/>
          <w:sz w:val="22"/>
          <w:szCs w:val="22"/>
        </w:rPr>
        <w:t>DSVIG</w:t>
      </w:r>
      <w:r w:rsidRPr="00D8750B">
        <w:rPr>
          <w:rFonts w:asciiTheme="minorHAnsi" w:hAnsiTheme="minorHAnsi"/>
          <w:color w:val="000000"/>
          <w:sz w:val="22"/>
          <w:szCs w:val="22"/>
        </w:rPr>
        <w:t xml:space="preserve"> specifies: (1) the number of indoor, outdoor and sub-slab samples that should be collected; (2) the depth of the sub-slab samples; (3) the manner of indoor air sample collection (“time integrated”); (4) whether and when samples in sewers and other “conduits” should be collected; (5) the number of sampling events required; and (6) when remediatio</w:t>
      </w:r>
      <w:r>
        <w:rPr>
          <w:rFonts w:asciiTheme="minorHAnsi" w:hAnsiTheme="minorHAnsi"/>
          <w:color w:val="000000"/>
          <w:sz w:val="22"/>
          <w:szCs w:val="22"/>
        </w:rPr>
        <w:t>n and/or mitigation is required.</w:t>
      </w:r>
    </w:p>
    <w:sectPr w:rsidR="006A75F1" w:rsidRPr="00D875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3853C" w14:textId="77777777" w:rsidR="00907EAD" w:rsidRDefault="00907EAD" w:rsidP="00102EB5">
      <w:pPr>
        <w:spacing w:after="0" w:line="240" w:lineRule="auto"/>
      </w:pPr>
      <w:r>
        <w:separator/>
      </w:r>
    </w:p>
  </w:endnote>
  <w:endnote w:type="continuationSeparator" w:id="0">
    <w:p w14:paraId="279856DE" w14:textId="77777777" w:rsidR="00907EAD" w:rsidRDefault="00907EAD" w:rsidP="00102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794BA" w14:textId="77777777" w:rsidR="00907EAD" w:rsidRDefault="00907EAD" w:rsidP="00102EB5">
      <w:pPr>
        <w:spacing w:after="0" w:line="240" w:lineRule="auto"/>
      </w:pPr>
      <w:r>
        <w:separator/>
      </w:r>
    </w:p>
  </w:footnote>
  <w:footnote w:type="continuationSeparator" w:id="0">
    <w:p w14:paraId="4250D7B9" w14:textId="77777777" w:rsidR="00907EAD" w:rsidRDefault="00907EAD" w:rsidP="00102EB5">
      <w:pPr>
        <w:spacing w:after="0" w:line="240" w:lineRule="auto"/>
      </w:pPr>
      <w:r>
        <w:continuationSeparator/>
      </w:r>
    </w:p>
  </w:footnote>
  <w:footnote w:id="1">
    <w:p w14:paraId="1EF85CC5" w14:textId="77777777" w:rsidR="00102EB5" w:rsidRDefault="00102EB5">
      <w:pPr>
        <w:pStyle w:val="FootnoteText"/>
      </w:pPr>
      <w:r w:rsidRPr="00102EB5">
        <w:rPr>
          <w:rStyle w:val="FootnoteReference"/>
        </w:rPr>
        <w:footnoteRef/>
      </w:r>
      <w:r w:rsidRPr="00102EB5">
        <w:t xml:space="preserve"> DVSIG, pages 1-2.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7C69DB"/>
    <w:multiLevelType w:val="hybridMultilevel"/>
    <w:tmpl w:val="A186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12A5D"/>
    <w:multiLevelType w:val="hybridMultilevel"/>
    <w:tmpl w:val="7EA60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1D053E"/>
    <w:multiLevelType w:val="hybridMultilevel"/>
    <w:tmpl w:val="8AF0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30B9"/>
    <w:rsid w:val="000A5892"/>
    <w:rsid w:val="00102EB5"/>
    <w:rsid w:val="00190CC8"/>
    <w:rsid w:val="0021550B"/>
    <w:rsid w:val="002A155D"/>
    <w:rsid w:val="002E05FD"/>
    <w:rsid w:val="002F699B"/>
    <w:rsid w:val="00337B3B"/>
    <w:rsid w:val="00365363"/>
    <w:rsid w:val="00380A7D"/>
    <w:rsid w:val="003930D0"/>
    <w:rsid w:val="00495C41"/>
    <w:rsid w:val="004E299C"/>
    <w:rsid w:val="00511EA7"/>
    <w:rsid w:val="0058577B"/>
    <w:rsid w:val="006A75F1"/>
    <w:rsid w:val="00757F22"/>
    <w:rsid w:val="007B2D0A"/>
    <w:rsid w:val="007B30B9"/>
    <w:rsid w:val="00803F7E"/>
    <w:rsid w:val="00823AC1"/>
    <w:rsid w:val="00837073"/>
    <w:rsid w:val="00851305"/>
    <w:rsid w:val="008D4286"/>
    <w:rsid w:val="00907EAD"/>
    <w:rsid w:val="00976B60"/>
    <w:rsid w:val="00A306C1"/>
    <w:rsid w:val="00A31944"/>
    <w:rsid w:val="00A92594"/>
    <w:rsid w:val="00AA50BD"/>
    <w:rsid w:val="00B32E1D"/>
    <w:rsid w:val="00B7536A"/>
    <w:rsid w:val="00B75CC6"/>
    <w:rsid w:val="00BF330B"/>
    <w:rsid w:val="00BF62FC"/>
    <w:rsid w:val="00C3074E"/>
    <w:rsid w:val="00C37573"/>
    <w:rsid w:val="00C53BDD"/>
    <w:rsid w:val="00CA48C5"/>
    <w:rsid w:val="00CF7D34"/>
    <w:rsid w:val="00D20129"/>
    <w:rsid w:val="00D8750B"/>
    <w:rsid w:val="00E85D68"/>
    <w:rsid w:val="00EC2DA7"/>
    <w:rsid w:val="00F1485D"/>
    <w:rsid w:val="00F43AAE"/>
    <w:rsid w:val="00FF6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7837"/>
  <w15:docId w15:val="{8FDDFCE0-5A9F-439F-AAEC-F3E1C5CC6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5F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A75F1"/>
    <w:pPr>
      <w:ind w:left="720"/>
      <w:contextualSpacing/>
    </w:pPr>
  </w:style>
  <w:style w:type="paragraph" w:styleId="FootnoteText">
    <w:name w:val="footnote text"/>
    <w:basedOn w:val="Normal"/>
    <w:link w:val="FootnoteTextChar"/>
    <w:uiPriority w:val="99"/>
    <w:semiHidden/>
    <w:unhideWhenUsed/>
    <w:rsid w:val="00102E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2EB5"/>
    <w:rPr>
      <w:sz w:val="20"/>
      <w:szCs w:val="20"/>
    </w:rPr>
  </w:style>
  <w:style w:type="character" w:styleId="FootnoteReference">
    <w:name w:val="footnote reference"/>
    <w:basedOn w:val="DefaultParagraphFont"/>
    <w:uiPriority w:val="99"/>
    <w:semiHidden/>
    <w:unhideWhenUsed/>
    <w:rsid w:val="00102EB5"/>
    <w:rPr>
      <w:vertAlign w:val="superscript"/>
    </w:rPr>
  </w:style>
  <w:style w:type="paragraph" w:customStyle="1" w:styleId="xmsonormal">
    <w:name w:val="x_msonormal"/>
    <w:basedOn w:val="Normal"/>
    <w:rsid w:val="00976B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6867">
      <w:bodyDiv w:val="1"/>
      <w:marLeft w:val="0"/>
      <w:marRight w:val="0"/>
      <w:marTop w:val="0"/>
      <w:marBottom w:val="0"/>
      <w:divBdr>
        <w:top w:val="none" w:sz="0" w:space="0" w:color="auto"/>
        <w:left w:val="none" w:sz="0" w:space="0" w:color="auto"/>
        <w:bottom w:val="none" w:sz="0" w:space="0" w:color="auto"/>
        <w:right w:val="none" w:sz="0" w:space="0" w:color="auto"/>
      </w:divBdr>
    </w:div>
    <w:div w:id="263420149">
      <w:bodyDiv w:val="1"/>
      <w:marLeft w:val="0"/>
      <w:marRight w:val="0"/>
      <w:marTop w:val="0"/>
      <w:marBottom w:val="0"/>
      <w:divBdr>
        <w:top w:val="none" w:sz="0" w:space="0" w:color="auto"/>
        <w:left w:val="none" w:sz="0" w:space="0" w:color="auto"/>
        <w:bottom w:val="none" w:sz="0" w:space="0" w:color="auto"/>
        <w:right w:val="none" w:sz="0" w:space="0" w:color="auto"/>
      </w:divBdr>
    </w:div>
    <w:div w:id="527764532">
      <w:bodyDiv w:val="1"/>
      <w:marLeft w:val="0"/>
      <w:marRight w:val="0"/>
      <w:marTop w:val="0"/>
      <w:marBottom w:val="0"/>
      <w:divBdr>
        <w:top w:val="none" w:sz="0" w:space="0" w:color="auto"/>
        <w:left w:val="none" w:sz="0" w:space="0" w:color="auto"/>
        <w:bottom w:val="none" w:sz="0" w:space="0" w:color="auto"/>
        <w:right w:val="none" w:sz="0" w:space="0" w:color="auto"/>
      </w:divBdr>
    </w:div>
    <w:div w:id="591206947">
      <w:bodyDiv w:val="1"/>
      <w:marLeft w:val="0"/>
      <w:marRight w:val="0"/>
      <w:marTop w:val="0"/>
      <w:marBottom w:val="0"/>
      <w:divBdr>
        <w:top w:val="none" w:sz="0" w:space="0" w:color="auto"/>
        <w:left w:val="none" w:sz="0" w:space="0" w:color="auto"/>
        <w:bottom w:val="none" w:sz="0" w:space="0" w:color="auto"/>
        <w:right w:val="none" w:sz="0" w:space="0" w:color="auto"/>
      </w:divBdr>
    </w:div>
    <w:div w:id="1409158906">
      <w:bodyDiv w:val="1"/>
      <w:marLeft w:val="0"/>
      <w:marRight w:val="0"/>
      <w:marTop w:val="0"/>
      <w:marBottom w:val="0"/>
      <w:divBdr>
        <w:top w:val="none" w:sz="0" w:space="0" w:color="auto"/>
        <w:left w:val="none" w:sz="0" w:space="0" w:color="auto"/>
        <w:bottom w:val="none" w:sz="0" w:space="0" w:color="auto"/>
        <w:right w:val="none" w:sz="0" w:space="0" w:color="auto"/>
      </w:divBdr>
    </w:div>
    <w:div w:id="1608730591">
      <w:bodyDiv w:val="1"/>
      <w:marLeft w:val="0"/>
      <w:marRight w:val="0"/>
      <w:marTop w:val="0"/>
      <w:marBottom w:val="0"/>
      <w:divBdr>
        <w:top w:val="none" w:sz="0" w:space="0" w:color="auto"/>
        <w:left w:val="none" w:sz="0" w:space="0" w:color="auto"/>
        <w:bottom w:val="none" w:sz="0" w:space="0" w:color="auto"/>
        <w:right w:val="none" w:sz="0" w:space="0" w:color="auto"/>
      </w:divBdr>
    </w:div>
    <w:div w:id="1773358588">
      <w:bodyDiv w:val="1"/>
      <w:marLeft w:val="0"/>
      <w:marRight w:val="0"/>
      <w:marTop w:val="0"/>
      <w:marBottom w:val="0"/>
      <w:divBdr>
        <w:top w:val="none" w:sz="0" w:space="0" w:color="auto"/>
        <w:left w:val="none" w:sz="0" w:space="0" w:color="auto"/>
        <w:bottom w:val="none" w:sz="0" w:space="0" w:color="auto"/>
        <w:right w:val="none" w:sz="0" w:space="0" w:color="auto"/>
      </w:divBdr>
    </w:div>
    <w:div w:id="202416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64935C566A5419525075677B8740C" ma:contentTypeVersion="10" ma:contentTypeDescription="Create a new document." ma:contentTypeScope="" ma:versionID="f9bbc02e254f5cc17c333eb07b1a33da">
  <xsd:schema xmlns:xsd="http://www.w3.org/2001/XMLSchema" xmlns:xs="http://www.w3.org/2001/XMLSchema" xmlns:p="http://schemas.microsoft.com/office/2006/metadata/properties" xmlns:ns3="f7bccccb-ae3c-4c77-ba41-eecc36c320d5" targetNamespace="http://schemas.microsoft.com/office/2006/metadata/properties" ma:root="true" ma:fieldsID="7bf1cec70219000313e0f742838c95ce" ns3:_="">
    <xsd:import namespace="f7bccccb-ae3c-4c77-ba41-eecc36c320d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bccccb-ae3c-4c77-ba41-eecc36c320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45703-1F83-4872-82A7-1E04B9DC9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bccccb-ae3c-4c77-ba41-eecc36c320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B3D0BA-1236-4627-BC2B-F7C6CFC2E8DE}">
  <ds:schemaRefs>
    <ds:schemaRef ds:uri="http://schemas.microsoft.com/sharepoint/v3/contenttype/forms"/>
  </ds:schemaRefs>
</ds:datastoreItem>
</file>

<file path=customXml/itemProps3.xml><?xml version="1.0" encoding="utf-8"?>
<ds:datastoreItem xmlns:ds="http://schemas.openxmlformats.org/officeDocument/2006/customXml" ds:itemID="{D9CF5843-ACF3-4399-AF63-E81B19309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92CF28-0DC0-4D09-ABA1-FDB4A6300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Sickenger</dc:creator>
  <cp:lastModifiedBy>Matthew Winefield</cp:lastModifiedBy>
  <cp:revision>8</cp:revision>
  <dcterms:created xsi:type="dcterms:W3CDTF">2020-03-27T04:41:00Z</dcterms:created>
  <dcterms:modified xsi:type="dcterms:W3CDTF">2020-03-27T04:44:00Z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0x01010066964935C566A5419525075677B8740C</vt:lpwstr>
  </property>
</Properties>
</file>